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524">
      <w:pPr>
        <w:rPr>
          <w:rFonts w:ascii="Times New Roman" w:hAnsi="Times New Roman"/>
        </w:rPr>
      </w:pPr>
    </w:p>
    <w:p w:rsidR="00000000" w:rsidRDefault="001C4524">
      <w:pPr>
        <w:rPr>
          <w:rFonts w:ascii="Times New Roman" w:hAnsi="Times New Roman"/>
          <w:b/>
          <w:bCs/>
        </w:rPr>
      </w:pPr>
    </w:p>
    <w:p w:rsidR="00000000" w:rsidRDefault="001C452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1C452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зарубежного опыта правового иммунитета для участников горизонтальных и вертикальных соглашений</w:t>
      </w:r>
    </w:p>
    <w:p w:rsidR="00000000" w:rsidRDefault="001C452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1C452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выводы и оценка зарубежного опыта:</w:t>
      </w:r>
    </w:p>
    <w:p w:rsidR="00000000" w:rsidRDefault="001C452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1C45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Зарубежному опыту известна проблема необходимости формирования правовых иммунитетов для рыночны</w:t>
      </w:r>
      <w:r>
        <w:rPr>
          <w:rFonts w:ascii="Times New Roman" w:hAnsi="Times New Roman"/>
          <w:sz w:val="28"/>
          <w:szCs w:val="28"/>
        </w:rPr>
        <w:t xml:space="preserve">х соглашений и согласованных </w:t>
      </w:r>
      <w:proofErr w:type="gramStart"/>
      <w:r>
        <w:rPr>
          <w:rFonts w:ascii="Times New Roman" w:hAnsi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исходя из прозрачных критериев, позволяющих компаниям понимать заранее, подпадают ли они заранее под запреты антимонопольного законодательства при заключении тех или иных соглашений. И эта проблема находит отражение и </w:t>
      </w:r>
      <w:r>
        <w:rPr>
          <w:rFonts w:ascii="Times New Roman" w:hAnsi="Times New Roman"/>
          <w:sz w:val="28"/>
          <w:szCs w:val="28"/>
        </w:rPr>
        <w:t>решение в правовом поле через установление иммунитетов посредством указаний на размер доли и оборота компаний.</w:t>
      </w:r>
    </w:p>
    <w:p w:rsidR="00000000" w:rsidRDefault="001C45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последовательно в мировом опыте проблема решается в Европейском Союзе, как самом ЕС, так и государствах-членах. ЕС и государства заинтер</w:t>
      </w:r>
      <w:r>
        <w:rPr>
          <w:rFonts w:ascii="Times New Roman" w:hAnsi="Times New Roman"/>
          <w:sz w:val="28"/>
          <w:szCs w:val="28"/>
        </w:rPr>
        <w:t>есованы в прозрачности и предсказуемости правового поля.</w:t>
      </w:r>
    </w:p>
    <w:p w:rsidR="00000000" w:rsidRDefault="001C45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установления иммунитетов в зависимости от правовой специфики стран является закон, мягкое право или административно-прецедентная и судебно-прецедентная практика.</w:t>
      </w:r>
    </w:p>
    <w:p w:rsidR="00000000" w:rsidRDefault="001C45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Механизмом формирования иммуни</w:t>
      </w:r>
      <w:r>
        <w:rPr>
          <w:rFonts w:ascii="Times New Roman" w:hAnsi="Times New Roman"/>
          <w:sz w:val="28"/>
          <w:szCs w:val="28"/>
        </w:rPr>
        <w:t xml:space="preserve">тета является использование критерия доли </w:t>
      </w:r>
      <w:proofErr w:type="spellStart"/>
      <w:r>
        <w:rPr>
          <w:rFonts w:ascii="Times New Roman" w:hAnsi="Times New Roman"/>
          <w:sz w:val="28"/>
          <w:szCs w:val="28"/>
        </w:rPr>
        <w:t>и\или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оборота участников соглашений и согласованных действий либо их рыночной силы.</w:t>
      </w:r>
    </w:p>
    <w:p w:rsidR="00000000" w:rsidRDefault="001C45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европейскими странами и ЕС, иммунитеты исходя из размера доли, рыночной силы или размера предприятия установлены также в </w:t>
      </w:r>
      <w:r>
        <w:rPr>
          <w:rFonts w:ascii="Times New Roman" w:hAnsi="Times New Roman"/>
          <w:sz w:val="28"/>
          <w:szCs w:val="28"/>
        </w:rPr>
        <w:t>таких лидирующих в мировой экономике странах, как Китай, США, Британия. В США прецедентные решения судов формируют административные подходы к определению круга потенциально опасных соглашений с точки зрения размера рыночной силы и доли на рынке их участник</w:t>
      </w:r>
      <w:r>
        <w:rPr>
          <w:rFonts w:ascii="Times New Roman" w:hAnsi="Times New Roman"/>
          <w:sz w:val="28"/>
          <w:szCs w:val="28"/>
        </w:rPr>
        <w:t>ов. В Великобритании указание на размер доли участников соглашений, как основание для воздержания от возбуждения дела, содержатся в заявлении Генерального директора честной торговли.</w:t>
      </w:r>
    </w:p>
    <w:p w:rsidR="00000000" w:rsidRDefault="001C45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России как страны континентальной системы предпочтителен европейский </w:t>
      </w:r>
      <w:r>
        <w:rPr>
          <w:rFonts w:ascii="Times New Roman" w:hAnsi="Times New Roman"/>
          <w:sz w:val="28"/>
          <w:szCs w:val="28"/>
        </w:rPr>
        <w:t xml:space="preserve">опыт, где указание на размеры доли на рынке и/или совокупный оборот установлены в </w:t>
      </w:r>
      <w:proofErr w:type="gramStart"/>
      <w:r>
        <w:rPr>
          <w:rFonts w:ascii="Times New Roman" w:hAnsi="Times New Roman"/>
          <w:sz w:val="28"/>
          <w:szCs w:val="28"/>
        </w:rPr>
        <w:t>писанном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праве — законодательстве или подзаконных актах. Проблема коррупции, о которой постоянно указывается главой российского государства и председателем Правительства, бор</w:t>
      </w:r>
      <w:r>
        <w:rPr>
          <w:rFonts w:ascii="Times New Roman" w:hAnsi="Times New Roman"/>
          <w:sz w:val="28"/>
          <w:szCs w:val="28"/>
        </w:rPr>
        <w:t xml:space="preserve">ьба за прозрачность и предсказуемость поведения административного аппарата, а также традиции российского права, где суды играют гораздо меньшую роль в толковании законов, и тем более не создают права, как в </w:t>
      </w:r>
      <w:proofErr w:type="spellStart"/>
      <w:r>
        <w:rPr>
          <w:rFonts w:ascii="Times New Roman" w:hAnsi="Times New Roman"/>
          <w:sz w:val="28"/>
          <w:szCs w:val="28"/>
        </w:rPr>
        <w:t>анлосаксонских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странах и опираются на </w:t>
      </w:r>
      <w:proofErr w:type="gramStart"/>
      <w:r>
        <w:rPr>
          <w:rFonts w:ascii="Times New Roman" w:hAnsi="Times New Roman"/>
          <w:sz w:val="28"/>
          <w:szCs w:val="28"/>
        </w:rPr>
        <w:t>писанное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аво для принятия решений, выдвигает императивные задачи формирования в писанном антимонопольном праве России иммунитетов для соглашений и согласованных действий, исходя из ясных критериев размера доли и/или совокупного оборота рынке.</w:t>
      </w:r>
    </w:p>
    <w:p w:rsidR="00000000" w:rsidRDefault="001C45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Европейскому опыту изв</w:t>
      </w:r>
      <w:r>
        <w:rPr>
          <w:rFonts w:ascii="Times New Roman" w:hAnsi="Times New Roman"/>
          <w:sz w:val="28"/>
          <w:szCs w:val="28"/>
        </w:rPr>
        <w:t xml:space="preserve">естно установление иммунитетов исходя из доли и оборота, как для широкого спектра </w:t>
      </w:r>
      <w:r>
        <w:rPr>
          <w:rFonts w:ascii="Times New Roman" w:hAnsi="Times New Roman"/>
          <w:sz w:val="28"/>
          <w:szCs w:val="28"/>
        </w:rPr>
        <w:lastRenderedPageBreak/>
        <w:t>соглашений, так и отдельно для горизонтальных и вертикальных, а также отдельных видов рынков. Такая дифференцированная практика может быть учтена и при совершенствовании росс</w:t>
      </w:r>
      <w:r>
        <w:rPr>
          <w:rFonts w:ascii="Times New Roman" w:hAnsi="Times New Roman"/>
          <w:sz w:val="28"/>
          <w:szCs w:val="28"/>
        </w:rPr>
        <w:t xml:space="preserve">ийского регулирования допустимости вертикальных и горизонтальных соглашений.                   </w:t>
      </w:r>
    </w:p>
    <w:p w:rsidR="00000000" w:rsidRDefault="001C4524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1C4524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1C4524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1C45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таблицу ниже.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3"/>
        <w:gridCol w:w="7632"/>
        <w:gridCol w:w="5227"/>
      </w:tblGrid>
      <w:tr w:rsidR="00000000"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e"/>
              <w:pageBreakBefore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Страны </w:t>
            </w:r>
          </w:p>
        </w:tc>
        <w:tc>
          <w:tcPr>
            <w:tcW w:w="7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e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Содержание механизмов и примеры </w:t>
            </w:r>
          </w:p>
          <w:p w:rsidR="00000000" w:rsidRDefault="001C4524">
            <w:pPr>
              <w:pStyle w:val="ae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подходов к регламентации нижнего порога</w:t>
            </w:r>
          </w:p>
        </w:tc>
        <w:tc>
          <w:tcPr>
            <w:tcW w:w="5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e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Нормативные источники правовой регламентации</w:t>
            </w:r>
          </w:p>
        </w:tc>
      </w:tr>
      <w:tr w:rsidR="00000000">
        <w:tc>
          <w:tcPr>
            <w:tcW w:w="21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Европейский </w:t>
            </w:r>
            <w:r>
              <w:rPr>
                <w:rFonts w:ascii="Times New Roman" w:hAnsi="Times New Roman"/>
                <w:b/>
                <w:bCs/>
                <w:sz w:val="24"/>
              </w:rPr>
              <w:t>Союз</w:t>
            </w:r>
            <w:r>
              <w:rPr>
                <w:rFonts w:ascii="Times New Roman" w:hAnsi="Times New Roman"/>
                <w:sz w:val="24"/>
              </w:rPr>
              <w:t xml:space="preserve"> (как надгосударственная антимонопольная юрисдикция)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f1"/>
              <w:snapToGrid w:val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В Руководящих указаниях Еврокомиссии, обязательных для практики самой Комиссии после их издания указывается, что по общему правилу Комиссия не рассматривает как незаконные любые соглашения, если в со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вокупности соблюдаются следующие условия: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а) совокупная доля на рынке участников соглашения не превышает 5%.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б) - для горизонтальных соглашений совокупный годовой оборот участников соглашения в Сообществе не превышает 40 млн. евро.</w:t>
            </w:r>
          </w:p>
          <w:p w:rsidR="00000000" w:rsidRPr="00E149C2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     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для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соглашений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о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совместных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покупках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годовой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совокупный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оборот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на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рынке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не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должен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превышать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объем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совокупных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закупок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охватываемых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соглашением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(In the case of agreements concerning the joint buying of products the relevant turnover shall be the parties' combined purchase</w:t>
            </w: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>s of the products covered by the agreement.);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 w:rsidRPr="00E149C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- для вертикальных соглашений — совокупный оборот поставщика в Сообществе в отношении товара, охватываемого соглашением, не превышает 40 млн. евро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.;</w:t>
            </w:r>
            <w:proofErr w:type="gramEnd"/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- для лицензионных соглашений — совокупный оборот на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 релевантном рынке должен равняться совокупности оборота лицензиатов на рынке товаров, в которых применяется лицензируемая технология, и собственного оборота лицензиара на рынке таких товаров;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- для соглашений, где один покупатель и несколько про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давцов — оборот на рынке товара должен равняться совокупному объему закупок покупателя у продавцов.  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При соблюдении условия пункта б) Еврокомиссия рассматривает по общему правилу соглашения также при совокупной доле участников соглашения на рынке до 10%,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 если в течение двух последовательных лет доля на рынке колебалась в пределах не более 2%.  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f"/>
              <w:snapToGrid w:val="0"/>
              <w:spacing w:after="120"/>
              <w:ind w:left="0" w:firstLine="0"/>
              <w:jc w:val="both"/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  <w:t>Определено нормативным актом</w:t>
            </w:r>
          </w:p>
          <w:p w:rsidR="00000000" w:rsidRPr="00E149C2" w:rsidRDefault="001C4524">
            <w:pPr>
              <w:pStyle w:val="af"/>
              <w:snapToGrid w:val="0"/>
              <w:spacing w:after="120"/>
              <w:ind w:left="0" w:firstLine="0"/>
              <w:jc w:val="both"/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  <w:t>Руководящие указания (</w:t>
            </w:r>
            <w:r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Guidelines</w:t>
            </w:r>
            <w:r w:rsidRPr="00E149C2"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  <w:t>)</w:t>
            </w:r>
          </w:p>
          <w:p w:rsidR="00000000" w:rsidRDefault="001C4524">
            <w:pPr>
              <w:pStyle w:val="af"/>
              <w:snapToGrid w:val="0"/>
              <w:spacing w:after="120"/>
              <w:ind w:left="0" w:firstLine="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COMMISSION NOTICE. Guidelines on the effect on trade concept contained in Articles 81 and 82 of the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Treaty (2004/C 101/07) (Text with EEA relevance) // 27.4.2004 EN Official Journal of the European Union C 101/81</w:t>
            </w:r>
          </w:p>
          <w:p w:rsidR="00000000" w:rsidRDefault="001C4524">
            <w:pPr>
              <w:pStyle w:val="af"/>
              <w:snapToGrid w:val="0"/>
              <w:spacing w:after="120"/>
              <w:ind w:left="0" w:firstLine="0"/>
              <w:jc w:val="both"/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  <w:t>Параграф 52.</w:t>
            </w:r>
          </w:p>
        </w:tc>
      </w:tr>
      <w:tr w:rsidR="00000000"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f1"/>
              <w:snapToGrid w:val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Для отдельных рынков в ЕС действуют специальные правила иммунитетов. Там доля может быть повышена. 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Так, специальные правила пре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дусмотрены для рынков страхования в Регламенте Комиссии ЕС. 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Предусмотрены иммунитеты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: 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а) </w:t>
            </w: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t xml:space="preserve">20% от любого соответствующего рынка для </w:t>
            </w: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t xml:space="preserve">соглашений о </w:t>
            </w: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lastRenderedPageBreak/>
              <w:t>совместно</w:t>
            </w: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t>м страховании;</w:t>
            </w: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t xml:space="preserve"> </w:t>
            </w:r>
          </w:p>
          <w:p w:rsidR="00000000" w:rsidRDefault="001C452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t>б) 25% от люб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ого соответствующего рынка для совместного перестрахования.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Определено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нормативным актом</w:t>
            </w:r>
          </w:p>
          <w:p w:rsidR="00000000" w:rsidRDefault="001C4524">
            <w:pPr>
              <w:rPr>
                <w:rFonts w:ascii="Times New Roman" w:hAnsi="Times New Roman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Регламент Комиссии</w:t>
            </w:r>
            <w:r>
              <w:rPr>
                <w:rFonts w:ascii="Times New Roman" w:hAnsi="Times New Roman"/>
                <w:sz w:val="24"/>
              </w:rPr>
              <w:t xml:space="preserve"> № 267/2010/ЕС от 24 марта 2010 г. о применении части (3) статьи 101 Договора </w:t>
            </w:r>
            <w:proofErr w:type="gramStart"/>
            <w:r>
              <w:rPr>
                <w:rFonts w:ascii="Times New Roman" w:hAnsi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Европейском Союзе для определенных категорий соглашений, решений и согласованных действий в секторе </w:t>
            </w:r>
            <w:r>
              <w:rPr>
                <w:rFonts w:ascii="Times New Roman" w:hAnsi="Times New Roman"/>
                <w:sz w:val="24"/>
              </w:rPr>
              <w:t>страхования (Текст, релевантный для ЕЭ</w:t>
            </w:r>
            <w:r>
              <w:rPr>
                <w:rFonts w:ascii="Times New Roman" w:hAnsi="Times New Roman"/>
                <w:sz w:val="24"/>
              </w:rPr>
              <w:t xml:space="preserve">П) </w:t>
            </w: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t xml:space="preserve">(CELEX: </w:t>
            </w:r>
            <w:r>
              <w:rPr>
                <w:rFonts w:ascii="Times New Roman" w:hAnsi="Times New Roman"/>
                <w:sz w:val="24"/>
                <w:shd w:val="clear" w:color="auto" w:fill="FFFFFF"/>
                <w:lang/>
              </w:rPr>
              <w:lastRenderedPageBreak/>
              <w:t>32010R0267)</w:t>
            </w:r>
          </w:p>
          <w:p w:rsidR="00000000" w:rsidRPr="00E149C2" w:rsidRDefault="001C4524">
            <w:pPr>
              <w:pStyle w:val="af1"/>
              <w:snapToGrid w:val="0"/>
              <w:spacing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URL: </w:t>
            </w:r>
            <w:hyperlink r:id="rId5" w:history="1">
              <w:r>
                <w:rPr>
                  <w:rStyle w:val="a3"/>
                  <w:rFonts w:ascii="Times New Roman" w:hAnsi="Times New Roman"/>
                </w:rPr>
                <w:t>http://eur-lex.europa.eu/LexUriServ/LexUriServ.do?uri=OJ:L:2010:083:0001:0007:EN:PDF</w:t>
              </w:r>
            </w:hyperlink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000000" w:rsidRDefault="001C4524">
            <w:pPr>
              <w:pStyle w:val="af1"/>
              <w:snapToGrid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ГЛАВА III.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татья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/>
              </w:rPr>
              <w:t>Исключения.</w:t>
            </w:r>
          </w:p>
        </w:tc>
      </w:tr>
      <w:tr w:rsidR="00000000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lastRenderedPageBreak/>
              <w:t>НИДЕРЛ</w:t>
            </w: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АНДЫ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о конкуренции содержит несколько иммунитетов для широких групп соглашений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  <w:p w:rsidR="00000000" w:rsidRDefault="001C4524">
            <w:pPr>
              <w:jc w:val="both"/>
            </w:pP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Разрешены любые запрещенные по общему правилу соглашения, действия, ассоциации, объединения предприятий, если их совокупная доля на любом релевантном рынке не превыш</w:t>
            </w:r>
            <w:r>
              <w:rPr>
                <w:rFonts w:ascii="Times New Roman" w:hAnsi="Times New Roman"/>
                <w:sz w:val="24"/>
              </w:rPr>
              <w:t xml:space="preserve">ает 5% и 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совокупный оборот таких участников не превышает €40,000,000.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2.Для остальных случаев, не подпадающих под первый случай, действуют следующие иммунитеты. Предусмотренные законом запреты на соглашения, совместные решения, действия союзов и ассоциаци</w:t>
            </w:r>
            <w:r>
              <w:rPr>
                <w:rFonts w:ascii="Times New Roman" w:hAnsi="Times New Roman"/>
                <w:sz w:val="24"/>
              </w:rPr>
              <w:t>й, если: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>. в соглашения и согласованные действия, ассоциации и предприятия вовлечено не более 8 предприятий и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</w:rPr>
              <w:t>. совокупный годовой оборот участников составляет: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€5,500,000, если соглашение или действия касаются только поставки товаров или;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€1,100,000</w:t>
            </w:r>
            <w:r>
              <w:rPr>
                <w:rFonts w:ascii="Times New Roman" w:hAnsi="Times New Roman"/>
                <w:sz w:val="24"/>
              </w:rPr>
              <w:t xml:space="preserve"> во всех остальных случаях.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jc w:val="both"/>
              <w:rPr>
                <w:rFonts w:ascii="Times New Roman" w:eastAsia="Arial" w:hAnsi="Times New Roman" w:cs="Arial"/>
                <w:b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</w:rPr>
              <w:t>Определено Законом</w:t>
            </w:r>
          </w:p>
          <w:p w:rsidR="00000000" w:rsidRDefault="001C4524">
            <w:pPr>
              <w:autoSpaceDE w:val="0"/>
              <w:snapToGrid w:val="0"/>
              <w:jc w:val="both"/>
              <w:rPr>
                <w:rStyle w:val="a3"/>
                <w:rFonts w:ascii="Times New Roman" w:eastAsia="Arial" w:hAnsi="Times New Roman" w:cs="Arial"/>
                <w:sz w:val="24"/>
                <w:lang w:val="ru-RU"/>
              </w:rPr>
            </w:pPr>
            <w:r>
              <w:rPr>
                <w:rStyle w:val="a3"/>
                <w:rFonts w:ascii="Times New Roman" w:eastAsia="Arial" w:hAnsi="Times New Roman" w:cs="Arial"/>
                <w:sz w:val="24"/>
                <w:lang w:val="ru-RU"/>
              </w:rPr>
              <w:t>Статья 7.</w:t>
            </w:r>
          </w:p>
          <w:p w:rsidR="00000000" w:rsidRPr="00E149C2" w:rsidRDefault="001C4524">
            <w:pPr>
              <w:autoSpaceDE w:val="0"/>
              <w:snapToGrid w:val="0"/>
              <w:jc w:val="both"/>
              <w:rPr>
                <w:rStyle w:val="a3"/>
                <w:rFonts w:ascii="Times New Roman" w:eastAsia="Arial" w:hAnsi="Times New Roman" w:cs="Arial"/>
                <w:sz w:val="24"/>
                <w:lang w:val="ru-RU"/>
              </w:rPr>
            </w:pPr>
            <w:r>
              <w:rPr>
                <w:rStyle w:val="a3"/>
                <w:rFonts w:ascii="Times New Roman" w:eastAsia="Arial" w:hAnsi="Times New Roman" w:cs="Arial"/>
                <w:sz w:val="24"/>
                <w:lang w:val="ru-RU"/>
              </w:rPr>
              <w:t xml:space="preserve">Закона о конкуренции // Сайт конкурентного ведомства Нидерландов. </w:t>
            </w:r>
            <w:r>
              <w:rPr>
                <w:rStyle w:val="a3"/>
                <w:rFonts w:ascii="Times New Roman" w:eastAsia="Arial" w:hAnsi="Times New Roman" w:cs="Arial"/>
                <w:sz w:val="24"/>
                <w:lang w:val="en-US"/>
              </w:rPr>
              <w:t>URL</w:t>
            </w:r>
            <w:r w:rsidRPr="00E149C2">
              <w:rPr>
                <w:rStyle w:val="a3"/>
                <w:rFonts w:ascii="Times New Roman" w:eastAsia="Arial" w:hAnsi="Times New Roman" w:cs="Arial"/>
                <w:sz w:val="24"/>
                <w:lang w:val="ru-RU"/>
              </w:rPr>
              <w:t>:</w:t>
            </w:r>
          </w:p>
          <w:p w:rsidR="00000000" w:rsidRDefault="001C4524">
            <w:pPr>
              <w:autoSpaceDE w:val="0"/>
              <w:snapToGrid w:val="0"/>
              <w:jc w:val="both"/>
              <w:rPr>
                <w:rStyle w:val="a3"/>
                <w:rFonts w:ascii="Times New Roman" w:eastAsia="Arial" w:hAnsi="Times New Roman" w:cs="Arial"/>
                <w:sz w:val="24"/>
              </w:rPr>
            </w:pPr>
            <w:r>
              <w:rPr>
                <w:rStyle w:val="a3"/>
                <w:rFonts w:ascii="Times New Roman" w:eastAsia="Arial" w:hAnsi="Times New Roman" w:cs="Arial"/>
                <w:sz w:val="24"/>
              </w:rPr>
              <w:t>http://www.nma.nl/en/images/Dutch%20Competition%20Act%20-%20in%20English%20(version%20of%20July%201%2C%202009)23-192040.pdf</w:t>
            </w:r>
          </w:p>
          <w:p w:rsidR="00000000" w:rsidRDefault="001C4524">
            <w:pPr>
              <w:autoSpaceDE w:val="0"/>
              <w:snapToGrid w:val="0"/>
              <w:jc w:val="both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hd w:val="clear" w:color="auto" w:fill="FFFF00"/>
              </w:rPr>
            </w:pPr>
          </w:p>
        </w:tc>
      </w:tr>
      <w:tr w:rsidR="00000000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spacing w:line="360" w:lineRule="auto"/>
              <w:ind w:firstLine="540"/>
              <w:jc w:val="both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Ге</w:t>
            </w: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рмания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Германии применяется подход, аналогичный подходу ЕС. Закон не указывает на изъятия, но они четко формулируются в мягком праве, руководящем указании </w:t>
            </w:r>
            <w:proofErr w:type="spellStart"/>
            <w:r>
              <w:rPr>
                <w:rFonts w:ascii="Times New Roman" w:hAnsi="Times New Roman"/>
                <w:sz w:val="24"/>
              </w:rPr>
              <w:t>правоприменителя</w:t>
            </w:r>
            <w:proofErr w:type="spellEnd"/>
            <w:r>
              <w:rPr>
                <w:rFonts w:ascii="Times New Roman" w:hAnsi="Times New Roman"/>
                <w:sz w:val="24"/>
              </w:rPr>
              <w:t>. При этом после обнародования этого указания (Уведомления Федеральной картельной с</w:t>
            </w:r>
            <w:r>
              <w:rPr>
                <w:rFonts w:ascii="Times New Roman" w:hAnsi="Times New Roman"/>
                <w:sz w:val="24"/>
              </w:rPr>
              <w:t>лужбы) служба не вправе отказаться от данного подхода. Суть иммунитетов:</w:t>
            </w:r>
          </w:p>
          <w:p w:rsidR="00000000" w:rsidRDefault="001C4524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Не принимаются меры против горизонтального соглашения, если совокупная доля на рынке этих предприятий не превышает 10% (</w:t>
            </w:r>
            <w:proofErr w:type="spellStart"/>
            <w:r>
              <w:rPr>
                <w:rFonts w:ascii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combined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market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undertakings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involved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horizontal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agreement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exceed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</w:rPr>
              <w:t>per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markets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E149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>8, а*)</w:t>
            </w:r>
          </w:p>
          <w:p w:rsidR="00000000" w:rsidRDefault="001C4524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000000" w:rsidRPr="00E149C2" w:rsidRDefault="001C4524">
            <w:pPr>
              <w:ind w:firstLine="284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вертикальных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соглашениях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этот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порог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составляет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15</w:t>
            </w:r>
            <w:r>
              <w:rPr>
                <w:rFonts w:ascii="Times New Roman" w:hAnsi="Times New Roman"/>
                <w:sz w:val="24"/>
                <w:lang w:val="en-US"/>
              </w:rPr>
              <w:t>%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(the market share of each of  the undertakings involved in a </w:t>
            </w:r>
            <w:proofErr w:type="spellStart"/>
            <w:r w:rsidRPr="00E149C2">
              <w:rPr>
                <w:rFonts w:ascii="Times New Roman" w:hAnsi="Times New Roman"/>
                <w:sz w:val="24"/>
                <w:lang w:val="en-US"/>
              </w:rPr>
              <w:t>nonhorizontal</w:t>
            </w:r>
            <w:proofErr w:type="spellEnd"/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agreement does  not exceed 15 per cent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in any one of the markets –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.9, </w:t>
            </w:r>
            <w:r>
              <w:rPr>
                <w:rFonts w:ascii="Times New Roman" w:hAnsi="Times New Roman"/>
                <w:sz w:val="24"/>
                <w:lang w:val="en-US"/>
              </w:rPr>
              <w:t>b*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000000" w:rsidRPr="00E149C2" w:rsidRDefault="001C452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000000" w:rsidRPr="00E149C2" w:rsidRDefault="001C4524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Если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нет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уверенности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горизонтальной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негоризонтальное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было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заключено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соглашение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то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применяется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10</w:t>
            </w:r>
            <w:r>
              <w:rPr>
                <w:rFonts w:ascii="Times New Roman" w:hAnsi="Times New Roman"/>
                <w:sz w:val="24"/>
                <w:lang w:val="en-US"/>
              </w:rPr>
              <w:t>%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порог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 (If it is uncertain whether a horizontal or non-horizontal agreement was concluded, the 10 per cent th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 xml:space="preserve">reshold applies –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E149C2">
              <w:rPr>
                <w:rFonts w:ascii="Times New Roman" w:hAnsi="Times New Roman"/>
                <w:sz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lang w:val="en-US"/>
              </w:rPr>
              <w:t>*</w:t>
            </w:r>
            <w:r w:rsidRPr="00E149C2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Определено нормативным актом</w:t>
            </w:r>
          </w:p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Руководящие указания (Уведомление) Федеральной картельной службы ФРГ. </w:t>
            </w:r>
          </w:p>
          <w:p w:rsidR="00000000" w:rsidRDefault="001C4524">
            <w:pPr>
              <w:pStyle w:val="Default"/>
              <w:jc w:val="both"/>
              <w:rPr>
                <w:rFonts w:ascii="Times New Roman" w:hAnsi="Times New Roman"/>
                <w:b/>
                <w:bCs/>
                <w:shd w:val="clear" w:color="auto" w:fill="FFFF00"/>
              </w:rPr>
            </w:pPr>
          </w:p>
          <w:p w:rsidR="00000000" w:rsidRDefault="001C452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Уведомление (№ 18/2007) </w:t>
            </w:r>
          </w:p>
          <w:p w:rsidR="00000000" w:rsidRDefault="001C452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Notice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18/2007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Bundeskartellamt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URL</w:t>
            </w:r>
            <w:r w:rsidRPr="00E149C2">
              <w:rPr>
                <w:rFonts w:ascii="Times New Roman" w:hAnsi="Times New Roman"/>
                <w:sz w:val="24"/>
              </w:rPr>
              <w:t>: [</w:t>
            </w:r>
            <w:r>
              <w:rPr>
                <w:rFonts w:ascii="Times New Roman" w:hAnsi="Times New Roman"/>
                <w:sz w:val="24"/>
              </w:rPr>
              <w:t xml:space="preserve">Если это ввести в поиск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</w:rPr>
              <w:t>, то первая же ссылка пока</w:t>
            </w:r>
            <w:r>
              <w:rPr>
                <w:rFonts w:ascii="Times New Roman" w:hAnsi="Times New Roman"/>
                <w:sz w:val="24"/>
              </w:rPr>
              <w:t>зывает этот документ]</w:t>
            </w:r>
          </w:p>
        </w:tc>
      </w:tr>
      <w:tr w:rsidR="00000000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spacing w:line="360" w:lineRule="auto"/>
              <w:ind w:firstLine="540"/>
              <w:jc w:val="both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lastRenderedPageBreak/>
              <w:t>Дания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bookmarkStart w:id="0" w:name="P7"/>
            <w:bookmarkStart w:id="1" w:name="Par7_Stk1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С</w:t>
            </w:r>
            <w:bookmarkEnd w:id="0"/>
            <w:bookmarkEnd w:id="1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огласно § 7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 запреты, установленные в отношении заключения соглашений компаний, которые прямо или косвенно, которое имеют целью или результатом ограничение конкуренции не применяется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:</w:t>
            </w:r>
          </w:p>
          <w:p w:rsidR="00000000" w:rsidRDefault="001C45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договорам между предприятиями,</w:t>
            </w:r>
          </w:p>
          <w:p w:rsidR="00000000" w:rsidRDefault="001C45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решениям 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ссоциаций предприятий;</w:t>
            </w:r>
          </w:p>
          <w:p w:rsidR="00000000" w:rsidRDefault="001C45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согласованным действиям между предприятиями, 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если предприятия: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bookmarkStart w:id="2" w:name="Par7_Stk1_Num1"/>
            <w:bookmarkEnd w:id="2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1) имеют совокупный годовой оборот менее 1 миллиарда датских крон и совокупную долю на рынке менее 10% от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бщего объема рынка продукта или услуги менее чем на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10 процентов или</w:t>
            </w:r>
          </w:p>
          <w:p w:rsidR="00000000" w:rsidRDefault="001C4524">
            <w:pPr>
              <w:jc w:val="both"/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</w:pPr>
            <w:bookmarkStart w:id="3" w:name="K2"/>
            <w:bookmarkStart w:id="4" w:name="Kap2"/>
            <w:bookmarkStart w:id="5" w:name="Par7_Stk1_Num2"/>
            <w:bookmarkEnd w:id="5"/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 xml:space="preserve">2) имеют общий годовой оборот менее 150 миллионов </w:t>
            </w:r>
            <w:bookmarkEnd w:id="3"/>
            <w:bookmarkEnd w:id="4"/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датских крон.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000000" w:rsidRDefault="001C4524">
            <w:pPr>
              <w:jc w:val="both"/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</w:pPr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Однако, данные иммунитеты не абсолютны. Они не применяются к следующим соглашениям, решениям, действиям:</w:t>
            </w:r>
          </w:p>
          <w:p w:rsidR="00000000" w:rsidRDefault="001C4524">
            <w:pPr>
              <w:numPr>
                <w:ilvl w:val="0"/>
                <w:numId w:val="2"/>
              </w:numPr>
              <w:jc w:val="both"/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</w:pPr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о ценах, прибыли и т. п.</w:t>
            </w:r>
          </w:p>
          <w:p w:rsidR="00000000" w:rsidRDefault="001C4524">
            <w:pPr>
              <w:numPr>
                <w:ilvl w:val="0"/>
                <w:numId w:val="2"/>
              </w:numPr>
              <w:jc w:val="both"/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</w:pPr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об ограничении производства или продаж</w:t>
            </w:r>
          </w:p>
          <w:p w:rsidR="00000000" w:rsidRDefault="001C4524">
            <w:pPr>
              <w:numPr>
                <w:ilvl w:val="0"/>
                <w:numId w:val="2"/>
              </w:numPr>
              <w:jc w:val="both"/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</w:pPr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о ра</w:t>
            </w:r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зделе рынка</w:t>
            </w:r>
          </w:p>
          <w:p w:rsidR="00000000" w:rsidRDefault="001C4524">
            <w:pPr>
              <w:numPr>
                <w:ilvl w:val="0"/>
                <w:numId w:val="2"/>
              </w:numPr>
              <w:jc w:val="both"/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</w:pPr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фиксации цен на торгах, в том числе фиксации стартовой цены и т.д.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Определено в Законе. </w:t>
            </w:r>
          </w:p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  <w:shd w:val="clear" w:color="auto" w:fill="FFFF00"/>
              </w:rPr>
            </w:pPr>
          </w:p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bookmarkStart w:id="6" w:name="K21"/>
            <w:bookmarkStart w:id="7" w:name="Kap21"/>
            <w:bookmarkEnd w:id="6"/>
            <w:bookmarkEnd w:id="7"/>
            <w:r>
              <w:rPr>
                <w:rFonts w:ascii="Times New Roman" w:hAnsi="Times New Roman"/>
                <w:shd w:val="clear" w:color="auto" w:fill="FFFFFF"/>
              </w:rPr>
              <w:t xml:space="preserve">Консолидированный Закон о конкуренции. </w:t>
            </w:r>
            <w:bookmarkStart w:id="8" w:name="Kap211"/>
            <w:bookmarkStart w:id="9" w:name="K211"/>
            <w:bookmarkEnd w:id="8"/>
            <w:bookmarkEnd w:id="9"/>
            <w:r>
              <w:rPr>
                <w:rFonts w:ascii="Times New Roman" w:hAnsi="Times New Roman"/>
                <w:shd w:val="clear" w:color="auto" w:fill="FFFFFF"/>
              </w:rPr>
              <w:t>Глава 2.</w:t>
            </w:r>
          </w:p>
          <w:p w:rsidR="00000000" w:rsidRDefault="001C4524">
            <w:pPr>
              <w:autoSpaceDE w:val="0"/>
              <w:snapToGrid w:val="0"/>
              <w:ind w:right="-6"/>
              <w:jc w:val="both"/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  <w:t xml:space="preserve">Консолидированный Закон о конкуренции № 1027 от 21 Августе 2007 года </w:t>
            </w:r>
            <w:r w:rsidRPr="00E149C2"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  <w:t>с изменениями, введенными § 6 Закон</w:t>
            </w:r>
            <w:r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  <w:t xml:space="preserve">а № 375 от 27 Мая 2008 года, § 162 закона № 1336 от 19 Декабря 2008 года и § 1 Закона № 495 от 12 Май 2010 года) // </w:t>
            </w:r>
          </w:p>
          <w:p w:rsidR="00000000" w:rsidRDefault="001C4524">
            <w:pPr>
              <w:autoSpaceDE w:val="0"/>
              <w:snapToGrid w:val="0"/>
              <w:ind w:left="60" w:right="-6" w:hanging="16"/>
              <w:jc w:val="both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hd w:val="clear" w:color="auto" w:fill="FFFF00"/>
              </w:rPr>
            </w:pPr>
          </w:p>
          <w:p w:rsidR="00000000" w:rsidRPr="00E149C2" w:rsidRDefault="001C4524">
            <w:pPr>
              <w:autoSpaceDE w:val="0"/>
              <w:snapToGrid w:val="0"/>
              <w:ind w:left="60" w:right="-6" w:hanging="16"/>
              <w:jc w:val="both"/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  <w:lang w:val="en-US"/>
              </w:rPr>
              <w:t>URL</w:t>
            </w:r>
            <w:r w:rsidRPr="00E149C2"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  <w:t>:</w:t>
            </w:r>
          </w:p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https://www.retsinformation.dk/Forms/R0710.aspx?id=132775 См. также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http://www.kfst.dk/konkurrenceomraadet/regler/gruppefritagelser</w:t>
            </w:r>
            <w:r>
              <w:rPr>
                <w:rFonts w:ascii="Times New Roman" w:hAnsi="Times New Roman"/>
                <w:shd w:val="clear" w:color="auto" w:fill="FFFFFF"/>
              </w:rPr>
              <w:t>/ http://www.kfst.dk/fileadmin/webmasterfiles/konkurrence/Fusionskontrol/Consolidated_Act_No._1027_of_21_August_2007_as_amended_as_of_1_October_2010.pdf</w:t>
            </w:r>
          </w:p>
          <w:p w:rsidR="00000000" w:rsidRDefault="001C4524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color w:val="000000"/>
                <w:szCs w:val="20"/>
                <w:shd w:val="clear" w:color="auto" w:fill="FFFF00"/>
              </w:rPr>
            </w:pPr>
          </w:p>
        </w:tc>
      </w:tr>
      <w:tr w:rsidR="00000000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spacing w:line="360" w:lineRule="auto"/>
              <w:ind w:firstLine="540"/>
              <w:jc w:val="center"/>
              <w:rPr>
                <w:rFonts w:ascii="Times New Roman" w:eastAsia="Arial CYR" w:hAnsi="Times New Roman" w:cs="Arial CYR"/>
                <w:b/>
                <w:bCs/>
                <w:color w:val="000000"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color w:val="000000"/>
                <w:sz w:val="24"/>
              </w:rPr>
              <w:t>Венгрия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Введены иммунитеты для вертикальных соглашений в отдельных сферах хозяйства.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Так, введены имм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унитеты в секторе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авторынков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 Освобождение приме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няется при условии, что поставщик имеет долю на рынке транспортных средств, запасных частей или услуг по ремонту и техническому обслуживанию не более 30%. 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2. Освобождение применяется, если доля на рынке п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родаж новых автомобилей не превышает 40%.</w:t>
            </w:r>
          </w:p>
          <w:p w:rsidR="00000000" w:rsidRDefault="001C4524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Arial CYR" w:hAnsi="Times New Roman" w:cs="Arial CYR"/>
                <w:sz w:val="24"/>
                <w:shd w:val="clear" w:color="auto" w:fill="FFFFFF"/>
              </w:rPr>
              <w:t>3. Освобождение применяется в отношении в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  <w:t xml:space="preserve">ертикальных соглашений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  <w:lastRenderedPageBreak/>
              <w:t>на передачу эксклюзивных прав  при условии, что доля покупателя на рынке приобретаемого товара не превысит 30%.</w:t>
            </w:r>
          </w:p>
          <w:p w:rsidR="00000000" w:rsidRDefault="001C4524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Arial CYR" w:hAnsi="Times New Roman" w:cs="Arial CYR"/>
                <w:color w:val="000000"/>
                <w:sz w:val="24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</w:rPr>
              <w:t>При применении иммунитетов учитывается</w:t>
            </w:r>
            <w:r>
              <w:rPr>
                <w:rFonts w:ascii="Times New Roman" w:eastAsia="Arial CYR" w:hAnsi="Times New Roman" w:cs="Arial CYR"/>
                <w:color w:val="000000"/>
                <w:sz w:val="24"/>
              </w:rPr>
              <w:t xml:space="preserve"> также годовой оборот компаний.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jc w:val="both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hd w:val="clear" w:color="auto" w:fill="FFFFFF"/>
              </w:rPr>
              <w:lastRenderedPageBreak/>
              <w:t>Определено нормативным актом Правительства</w:t>
            </w:r>
          </w:p>
          <w:p w:rsidR="00000000" w:rsidRDefault="001C4524">
            <w:pPr>
              <w:autoSpaceDE w:val="0"/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24"/>
                <w:shd w:val="clear" w:color="auto" w:fill="FFFF00"/>
              </w:rPr>
            </w:pPr>
          </w:p>
          <w:p w:rsidR="00000000" w:rsidRPr="00E149C2" w:rsidRDefault="001C4524">
            <w:pPr>
              <w:autoSpaceDE w:val="0"/>
              <w:snapToGrid w:val="0"/>
              <w:jc w:val="both"/>
              <w:rPr>
                <w:rFonts w:ascii="Times New Roman" w:eastAsia="Arial CYR" w:hAnsi="Times New Roman" w:cs="Arial CYR"/>
                <w:color w:val="000000"/>
                <w:sz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  <w:t xml:space="preserve">19/2004. (II. 13) Постановление Правительства о вертикальных соглашениях в секторе 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hd w:val="clear" w:color="auto" w:fill="FFFFFF"/>
              </w:rPr>
              <w:t>авторынков</w:t>
            </w:r>
            <w:proofErr w:type="spellEnd"/>
            <w:r>
              <w:rPr>
                <w:rFonts w:ascii="Times New Roman" w:eastAsia="Arial CYR" w:hAnsi="Times New Roman" w:cs="Arial CYR"/>
                <w:color w:val="000000"/>
                <w:sz w:val="24"/>
              </w:rPr>
              <w:t xml:space="preserve"> //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lang w:val="en-US"/>
              </w:rPr>
              <w:t>URL</w:t>
            </w:r>
            <w:r w:rsidRPr="00E149C2">
              <w:rPr>
                <w:rFonts w:ascii="Times New Roman" w:eastAsia="Arial CYR" w:hAnsi="Times New Roman" w:cs="Arial CYR"/>
                <w:color w:val="000000"/>
                <w:sz w:val="24"/>
              </w:rPr>
              <w:t>:</w:t>
            </w:r>
          </w:p>
          <w:p w:rsidR="00000000" w:rsidRDefault="001C4524">
            <w:pPr>
              <w:autoSpaceDE w:val="0"/>
              <w:snapToGrid w:val="0"/>
              <w:jc w:val="both"/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  <w:t>http://www.gvh.hu/domain2/files/modules/module25/pdf/19_2004_II_13_Korm_rende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  <w:t xml:space="preserve">let.pdf , а также </w:t>
            </w:r>
            <w:proofErr w:type="gramStart"/>
            <w:r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  <w:t>.: http://www.gvh.hu/gvh/alpha?do=2&amp;st=1&amp;pg=84&amp;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hd w:val="clear" w:color="auto" w:fill="FFFFFF"/>
              </w:rPr>
              <w:lastRenderedPageBreak/>
              <w:t xml:space="preserve">m5_doc=4323&amp;m57_act=25 </w:t>
            </w:r>
          </w:p>
          <w:p w:rsidR="00000000" w:rsidRDefault="001C4524">
            <w:pPr>
              <w:autoSpaceDE w:val="0"/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24"/>
                <w:shd w:val="clear" w:color="auto" w:fill="FFFF00"/>
              </w:rPr>
            </w:pPr>
          </w:p>
          <w:p w:rsidR="00000000" w:rsidRDefault="001C4524">
            <w:pPr>
              <w:autoSpaceDE w:val="0"/>
              <w:snapToGrid w:val="0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000000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spacing w:line="360" w:lineRule="auto"/>
              <w:ind w:firstLine="540"/>
              <w:jc w:val="both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lastRenderedPageBreak/>
              <w:t>Китай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gram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Законодательно выведены из под запретов некоторые видов соглашений, в том числе, исходя из критерия размера предприятия.</w:t>
            </w:r>
            <w:proofErr w:type="gram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Так, выведены из под системы запре</w:t>
            </w:r>
            <w:r>
              <w:rPr>
                <w:rFonts w:ascii="Times New Roman" w:eastAsia="Arial" w:hAnsi="Times New Roman" w:cs="Arial"/>
                <w:color w:val="000000"/>
                <w:sz w:val="24"/>
              </w:rPr>
              <w:t>тов:</w:t>
            </w:r>
            <w:proofErr w:type="gramEnd"/>
          </w:p>
          <w:p w:rsidR="00000000" w:rsidRDefault="001C4524">
            <w:pPr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соглашения малого и среднего бизнеса, если они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направленны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на повышение эффективности и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конкурентноспособности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:  </w:t>
            </w:r>
            <w:r>
              <w:rPr>
                <w:rFonts w:ascii="Times New Roman" w:eastAsia="Arial" w:hAnsi="Times New Roman" w:cs="Arial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iii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agreements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made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by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small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and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medium-sized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enterprises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to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improve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operational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efficiency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and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to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enhance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their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competitiveness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); 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pStyle w:val="Default"/>
              <w:snapToGrid w:val="0"/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Опр</w:t>
            </w:r>
            <w:r>
              <w:rPr>
                <w:rStyle w:val="a5"/>
                <w:rFonts w:ascii="Times New Roman" w:hAnsi="Times New Roman"/>
              </w:rPr>
              <w:t>еделено в Законе</w:t>
            </w:r>
          </w:p>
          <w:p w:rsidR="00000000" w:rsidRDefault="001C4524">
            <w:pPr>
              <w:rPr>
                <w:rFonts w:ascii="Times New Roman" w:hAnsi="Times New Roman"/>
                <w:sz w:val="24"/>
              </w:rPr>
            </w:pPr>
          </w:p>
          <w:p w:rsidR="00000000" w:rsidRDefault="001C4524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 xml:space="preserve">Ст. 15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>Антимонопьного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 xml:space="preserve"> закона КНР. См.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lang w:val="en-US"/>
              </w:rPr>
              <w:t>Anti</w:t>
            </w:r>
            <w:r w:rsidRPr="00E149C2"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>-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lang w:val="en-US"/>
              </w:rPr>
              <w:t>monopoly</w:t>
            </w:r>
            <w:r w:rsidRPr="00E149C2"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lang w:val="en-US"/>
              </w:rPr>
              <w:t>Law</w:t>
            </w:r>
            <w:r w:rsidRPr="00E149C2"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 xml:space="preserve"> //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 xml:space="preserve">Сайт Всемирной организации интеллектуальной собственности. Англ. Версия.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lang w:val="en-US"/>
              </w:rPr>
              <w:t>URL</w:t>
            </w:r>
            <w:r w:rsidRPr="00E149C2"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>: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http://www.wipo.int/wipolex/en/deta</w:t>
              </w:r>
              <w:r>
                <w:rPr>
                  <w:rStyle w:val="a3"/>
                  <w:rFonts w:ascii="Times New Roman" w:hAnsi="Times New Roman"/>
                </w:rPr>
                <w:t>ils.jsp?id=6543</w:t>
              </w:r>
            </w:hyperlink>
            <w:r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000000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spacing w:line="360" w:lineRule="auto"/>
              <w:ind w:firstLine="540"/>
              <w:jc w:val="both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 xml:space="preserve">Великобритания 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jc w:val="both"/>
              <w:rPr>
                <w:rFonts w:ascii="Times New Roman" w:eastAsia="Arial" w:hAnsi="Times New Roman" w:cs="Arial"/>
                <w:color w:val="000000"/>
                <w:sz w:val="24"/>
              </w:rPr>
            </w:pPr>
            <w:proofErr w:type="gramStart"/>
            <w:r>
              <w:rPr>
                <w:rFonts w:ascii="Times New Roman" w:eastAsia="Arial" w:hAnsi="Times New Roman" w:cs="Arial"/>
                <w:color w:val="000000"/>
                <w:sz w:val="24"/>
              </w:rPr>
              <w:t>Закон о конкуренции не содержит указаний на иммунитеты с позиции рыночной доли или оборота, но в заявлении Главного должностного лица по антимонопольным расследованиям — Генерального директора честной торговли указывается</w:t>
            </w:r>
            <w:r>
              <w:rPr>
                <w:rFonts w:ascii="Times New Roman" w:eastAsia="Arial" w:hAnsi="Times New Roman" w:cs="Arial"/>
                <w:color w:val="000000"/>
                <w:sz w:val="24"/>
              </w:rPr>
              <w:t xml:space="preserve">, что по общему правилу, наличие у участников соглашений совокупной доли на рынке менее 25% свидетельствует об отсутствии негативного воздействия на конкуренцию, если нет каких-либо особых обстоятельств.   </w:t>
            </w:r>
            <w:proofErr w:type="gramEnd"/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 xml:space="preserve">Заявление </w:t>
            </w:r>
            <w:r>
              <w:rPr>
                <w:rFonts w:ascii="Times New Roman" w:hAnsi="Times New Roman"/>
                <w:b/>
                <w:bCs/>
              </w:rPr>
              <w:t>Главного должностного лица по антимоноп</w:t>
            </w:r>
            <w:r>
              <w:rPr>
                <w:rFonts w:ascii="Times New Roman" w:hAnsi="Times New Roman"/>
                <w:b/>
                <w:bCs/>
              </w:rPr>
              <w:t>ольным расследованиям — Генерального директора честной торговли.</w:t>
            </w:r>
          </w:p>
          <w:p w:rsidR="00000000" w:rsidRDefault="001C4524">
            <w:pPr>
              <w:pStyle w:val="Default"/>
              <w:snapToGrid w:val="0"/>
              <w:jc w:val="both"/>
              <w:rPr>
                <w:b/>
                <w:bCs/>
              </w:rPr>
            </w:pPr>
          </w:p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</w:t>
            </w:r>
            <w:r w:rsidRPr="00E149C2">
              <w:rPr>
                <w:rFonts w:ascii="Times New Roman" w:hAnsi="Times New Roman"/>
                <w:lang w:val="en-US"/>
              </w:rPr>
              <w:t xml:space="preserve">. David </w:t>
            </w:r>
            <w:proofErr w:type="spellStart"/>
            <w:r w:rsidRPr="00E149C2">
              <w:rPr>
                <w:rFonts w:ascii="Times New Roman" w:hAnsi="Times New Roman"/>
                <w:lang w:val="en-US"/>
              </w:rPr>
              <w:t>Tatlow</w:t>
            </w:r>
            <w:proofErr w:type="spellEnd"/>
            <w:r w:rsidRPr="00E149C2">
              <w:rPr>
                <w:rFonts w:ascii="Times New Roman" w:hAnsi="Times New Roman"/>
                <w:lang w:val="en-US"/>
              </w:rPr>
              <w:t xml:space="preserve">. Director of Legal Services. </w:t>
            </w:r>
            <w:r>
              <w:rPr>
                <w:rFonts w:ascii="Times New Roman" w:hAnsi="Times New Roman"/>
                <w:lang w:val="en-US"/>
              </w:rPr>
              <w:t>Competition Act, 1998. // BN COMPETITION ACT</w:t>
            </w:r>
          </w:p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06/07/2009. </w:t>
            </w:r>
            <w:r>
              <w:rPr>
                <w:rFonts w:ascii="Times New Roman" w:hAnsi="Times New Roman"/>
              </w:rPr>
              <w:t xml:space="preserve">С.2-3. </w:t>
            </w:r>
            <w:r>
              <w:rPr>
                <w:rFonts w:ascii="Times New Roman" w:hAnsi="Times New Roman"/>
                <w:lang w:val="en-US"/>
              </w:rPr>
              <w:t>URL</w:t>
            </w:r>
            <w:r w:rsidRPr="00E149C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(в поисковых системах по названию документа).</w:t>
            </w:r>
          </w:p>
          <w:p w:rsidR="00000000" w:rsidRDefault="001C4524">
            <w:pPr>
              <w:pStyle w:val="Defaul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документ является комм</w:t>
            </w:r>
            <w:r>
              <w:rPr>
                <w:rFonts w:ascii="Times New Roman" w:hAnsi="Times New Roman"/>
              </w:rPr>
              <w:t>ентарием к Закону о конкуренции, 1998.</w:t>
            </w:r>
          </w:p>
        </w:tc>
      </w:tr>
      <w:tr w:rsidR="00000000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США. Федеральный уровень.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C45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Писанное антитрестовское право не регулирует вопросов </w:t>
            </w:r>
            <w:proofErr w:type="spellStart"/>
            <w:r>
              <w:rPr>
                <w:rFonts w:ascii="Times New Roman" w:hAnsi="Times New Roman"/>
                <w:sz w:val="24"/>
              </w:rPr>
              <w:t>иммунтетов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позиций размера доли или экономического положения. Однако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судебное прецедентное право сформировало несколько подходов в да</w:t>
            </w:r>
            <w:r>
              <w:rPr>
                <w:rFonts w:ascii="Times New Roman" w:hAnsi="Times New Roman"/>
                <w:sz w:val="24"/>
              </w:rPr>
              <w:t>нном направлении:</w:t>
            </w:r>
          </w:p>
          <w:p w:rsidR="00000000" w:rsidRDefault="001C45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оценке законности соглашений и согласованных действий, как </w:t>
            </w:r>
            <w:proofErr w:type="gramStart"/>
            <w:r>
              <w:rPr>
                <w:rFonts w:ascii="Times New Roman" w:hAnsi="Times New Roman"/>
                <w:sz w:val="24"/>
              </w:rPr>
              <w:t>вертикального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так и горизонтального характера суды придают значение рыночной власти участников соглашений. Такой подход предопределяет практику ФТК и Департамента юстиции при </w:t>
            </w:r>
            <w:r>
              <w:rPr>
                <w:rFonts w:ascii="Times New Roman" w:hAnsi="Times New Roman"/>
                <w:sz w:val="24"/>
              </w:rPr>
              <w:t>решении вопроса о расследовании и представлении в суды обвинительной позиции. Практика свидетельствует об иммунитетах для соглашений, где доля участников менее 20%.</w:t>
            </w:r>
          </w:p>
          <w:p w:rsidR="00000000" w:rsidRDefault="001C45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Презумпция незаконных соглашений связывается с </w:t>
            </w:r>
            <w:proofErr w:type="spellStart"/>
            <w:r>
              <w:rPr>
                <w:rFonts w:ascii="Times New Roman" w:hAnsi="Times New Roman"/>
                <w:sz w:val="24"/>
              </w:rPr>
              <w:t>олигопольными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рынками, а также рынками, где </w:t>
            </w:r>
            <w:r>
              <w:rPr>
                <w:rFonts w:ascii="Times New Roman" w:hAnsi="Times New Roman"/>
                <w:sz w:val="24"/>
              </w:rPr>
              <w:t xml:space="preserve">вход на рынок </w:t>
            </w:r>
            <w:r>
              <w:rPr>
                <w:rFonts w:ascii="Times New Roman" w:hAnsi="Times New Roman"/>
                <w:sz w:val="24"/>
              </w:rPr>
              <w:lastRenderedPageBreak/>
              <w:t>затруднен для новых конкурентов.</w:t>
            </w:r>
          </w:p>
          <w:p w:rsidR="00000000" w:rsidRDefault="001C45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      с</w:t>
            </w:r>
            <w:r>
              <w:rPr>
                <w:rFonts w:ascii="Times New Roman" w:hAnsi="Times New Roman"/>
                <w:sz w:val="24"/>
              </w:rPr>
              <w:t xml:space="preserve">оглашений об исключительных правах на продажу действует правило «изъятие из конкуренции доли в общем объеме рынка» или «степени закрытости рынка от конкуренции».  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Ранее </w:t>
            </w:r>
            <w:proofErr w:type="gramStart"/>
            <w:r>
              <w:rPr>
                <w:rFonts w:ascii="Times New Roman" w:hAnsi="Times New Roman"/>
                <w:sz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признавал соглашение неза</w:t>
            </w:r>
            <w:r>
              <w:rPr>
                <w:rFonts w:ascii="Times New Roman" w:hAnsi="Times New Roman"/>
                <w:sz w:val="24"/>
              </w:rPr>
              <w:t>конным, если совокупная доля участников на рынке товара составляла 7%).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Суды первой инстанции, как правило, отказывают возбуждать дела, если закрытость составляет менее 20% рынка. 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одном из относительно недавних решений Верховный суд указал на 30% совоку</w:t>
            </w:r>
            <w:r>
              <w:rPr>
                <w:rFonts w:ascii="Times New Roman" w:hAnsi="Times New Roman"/>
                <w:sz w:val="24"/>
              </w:rPr>
              <w:t xml:space="preserve">пной доли участников (степень закрытости рынка от конкуренции), как критерий незаконности. 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Кроме того, имеют значение срок соглашения и барьеры входы. Соглашения на год, как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 преследуются, за исключением экстраординарных случаев. 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Следующее утв</w:t>
            </w:r>
            <w:r>
              <w:rPr>
                <w:rFonts w:ascii="Times New Roman" w:hAnsi="Times New Roman"/>
                <w:sz w:val="24"/>
              </w:rPr>
              <w:t>ерждение доктрины свидетельствует о 20% доле, как минимальной, после которой возможно преследование разного рода соглашений.</w:t>
            </w:r>
          </w:p>
          <w:p w:rsidR="00000000" w:rsidRDefault="001C45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условиях отсутствия четких инструкций Верховного суда суды первой инстанции и ФТК пытаются найти более ясные ориентиры для решен</w:t>
            </w:r>
            <w:r>
              <w:rPr>
                <w:rFonts w:ascii="Times New Roman" w:hAnsi="Times New Roman"/>
                <w:sz w:val="24"/>
              </w:rPr>
              <w:t>ия вопроса о том, в каком случае следует предпринимать судебное разбирательство при сужении рынка в результате деятельности компании на 20% или более». С.244.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C4524">
            <w:pPr>
              <w:pStyle w:val="af"/>
              <w:snapToGrid w:val="0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Определено прецедентным правом.</w:t>
            </w:r>
          </w:p>
          <w:p w:rsidR="00000000" w:rsidRDefault="001C4524">
            <w:pPr>
              <w:pStyle w:val="af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  <w:p w:rsidR="00000000" w:rsidRDefault="001C4524">
            <w:pPr>
              <w:pStyle w:val="af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в антитрестовском законодательстве. 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прецедент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решениями судов. Прецеденты определяют как решения будущих судов, так и административную практику ФТК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Департамента юстиции. </w:t>
            </w:r>
          </w:p>
          <w:p w:rsidR="00000000" w:rsidRDefault="001C4524">
            <w:pPr>
              <w:pStyle w:val="a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1C4524">
            <w:pPr>
              <w:pStyle w:val="af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США судебный прецедент — источник права. </w:t>
            </w:r>
          </w:p>
          <w:p w:rsidR="00000000" w:rsidRDefault="001C4524">
            <w:pPr>
              <w:pStyle w:val="af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1C4524">
            <w:pPr>
              <w:pStyle w:val="af"/>
              <w:autoSpaceDE w:val="0"/>
              <w:snapToGrid w:val="0"/>
              <w:ind w:left="0" w:firstLine="0"/>
              <w:jc w:val="both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Обзор практики федеральных судов по этому вопросу приведен, в частности, в изд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ании: </w:t>
            </w:r>
            <w:proofErr w:type="spellStart"/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Антитретовское</w:t>
            </w:r>
            <w:proofErr w:type="spellEnd"/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право США, 1995. </w:t>
            </w:r>
            <w:r w:rsidRPr="00E149C2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перевод</w:t>
            </w:r>
            <w:r w:rsidRPr="00E149C2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на</w:t>
            </w:r>
            <w:r w:rsidRPr="00E149C2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lastRenderedPageBreak/>
              <w:t>русский</w:t>
            </w:r>
            <w:r w:rsidRPr="00E149C2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язык</w:t>
            </w:r>
            <w:r w:rsidRPr="00E149C2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книги</w:t>
            </w:r>
            <w:r w:rsidRPr="00E149C2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Antitrust Law and Economics in a Nutshell / By </w:t>
            </w:r>
            <w:proofErr w:type="spellStart"/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E.Gelihorn</w:t>
            </w:r>
            <w:proofErr w:type="spellEnd"/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W.E </w:t>
            </w:r>
            <w:proofErr w:type="spellStart"/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Kovachic</w:t>
            </w:r>
            <w:proofErr w:type="spellEnd"/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. – 1994.</w:t>
            </w:r>
            <w:r w:rsidRPr="00E149C2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).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См.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124, 143, 145, 154,155, 156, 159, 161, 164, 178, 224, 225, 235, 241-244.</w:t>
            </w:r>
          </w:p>
        </w:tc>
      </w:tr>
    </w:tbl>
    <w:p w:rsidR="001C4524" w:rsidRDefault="001C4524">
      <w:pPr>
        <w:rPr>
          <w:rFonts w:ascii="Times New Roman" w:hAnsi="Times New Roman"/>
        </w:rPr>
      </w:pPr>
    </w:p>
    <w:sectPr w:rsidR="001C4524" w:rsidSect="0040104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149C2"/>
    <w:rsid w:val="001C4524"/>
    <w:rsid w:val="00401046"/>
    <w:rsid w:val="00E1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сноски"/>
  </w:style>
  <w:style w:type="character" w:styleId="a5">
    <w:name w:val="Strong"/>
    <w:qFormat/>
    <w:rPr>
      <w:b/>
      <w:bCs/>
    </w:rPr>
  </w:style>
  <w:style w:type="character" w:styleId="a6">
    <w:name w:val="footnote reference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8">
    <w:name w:val="endnote reference"/>
    <w:rPr>
      <w:vertAlign w:val="superscript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Default">
    <w:name w:val="Default"/>
    <w:basedOn w:val="a"/>
    <w:pPr>
      <w:autoSpaceDE w:val="0"/>
    </w:pPr>
    <w:rPr>
      <w:rFonts w:eastAsia="Arial" w:cs="Arial"/>
      <w:color w:val="000000"/>
      <w:sz w:val="24"/>
    </w:rPr>
  </w:style>
  <w:style w:type="paragraph" w:customStyle="1" w:styleId="af0">
    <w:name w:val="Заголовок таблицы"/>
    <w:basedOn w:val="ae"/>
    <w:pPr>
      <w:jc w:val="center"/>
    </w:pPr>
    <w:rPr>
      <w:b/>
      <w:bCs/>
    </w:rPr>
  </w:style>
  <w:style w:type="paragraph" w:styleId="af1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po.int/wipolex/en/details.jsp?id=6543" TargetMode="External"/><Relationship Id="rId5" Type="http://schemas.openxmlformats.org/officeDocument/2006/relationships/hyperlink" Target="http://eur-lex.europa.eu/LexUriServ/LexUriServ.do?uri=OJ:L:2010:083:0001:0007:EN: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InWin1</dc:creator>
  <cp:lastModifiedBy>InWin1</cp:lastModifiedBy>
  <cp:revision>3</cp:revision>
  <cp:lastPrinted>1601-01-01T00:00:00Z</cp:lastPrinted>
  <dcterms:created xsi:type="dcterms:W3CDTF">2015-12-15T09:57:00Z</dcterms:created>
  <dcterms:modified xsi:type="dcterms:W3CDTF">2015-12-15T09:57:00Z</dcterms:modified>
</cp:coreProperties>
</file>